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FA3" w:rsidRDefault="007C3FA3" w:rsidP="007C3FA3">
      <w:pPr>
        <w:pStyle w:val="1"/>
        <w:jc w:val="center"/>
        <w:rPr>
          <w:rFonts w:ascii="宋体" w:hAnsi="宋体" w:hint="eastAsia"/>
          <w:kern w:val="2"/>
        </w:rPr>
      </w:pPr>
      <w:r>
        <w:rPr>
          <w:rFonts w:ascii="宋体" w:hAnsi="宋体" w:hint="eastAsia"/>
          <w:kern w:val="2"/>
        </w:rPr>
        <w:t>风险揭示书</w:t>
      </w:r>
    </w:p>
    <w:p w:rsidR="007C3FA3" w:rsidRDefault="007C3FA3" w:rsidP="007C3FA3">
      <w:pPr>
        <w:spacing w:line="360" w:lineRule="auto"/>
        <w:rPr>
          <w:rFonts w:ascii="黑体" w:eastAsia="黑体" w:hAnsi="黑体"/>
          <w:sz w:val="30"/>
          <w:szCs w:val="30"/>
        </w:rPr>
      </w:pPr>
      <w:r>
        <w:rPr>
          <w:rFonts w:ascii="黑体" w:eastAsia="黑体" w:hAnsi="黑体" w:hint="eastAsia"/>
          <w:sz w:val="30"/>
          <w:szCs w:val="30"/>
        </w:rPr>
        <w:t>各会员单位：</w:t>
      </w:r>
    </w:p>
    <w:p w:rsidR="007C3FA3" w:rsidRDefault="007C3FA3" w:rsidP="007C3FA3">
      <w:pPr>
        <w:spacing w:line="360" w:lineRule="auto"/>
        <w:ind w:firstLineChars="200" w:firstLine="600"/>
        <w:rPr>
          <w:rFonts w:ascii="仿宋" w:eastAsia="仿宋" w:hAnsi="仿宋"/>
          <w:sz w:val="30"/>
          <w:szCs w:val="30"/>
        </w:rPr>
      </w:pPr>
      <w:r>
        <w:rPr>
          <w:rFonts w:ascii="仿宋" w:eastAsia="仿宋" w:hAnsi="仿宋" w:hint="eastAsia"/>
          <w:sz w:val="30"/>
          <w:szCs w:val="30"/>
        </w:rPr>
        <w:t>为贵公司能正确全面地了解浙江天然气交易市场（下称“交易市场”）交易风险，请仔细阅读以下内容。若贵公司已经申请并获得交易市场交易账户和密码，我们将认为贵公司已经完全了解电子交易的风险，并能够承担由此可能带来的损失。交易市场将尽最大努力采取有效措施保护交易市场电子交易系统的安全。本着对会员负责的态度，交易市场在此郑重提醒，电子化交易除了其他交易方式共有的风险外，还存在下列风险：</w:t>
      </w:r>
    </w:p>
    <w:p w:rsidR="007C3FA3" w:rsidRDefault="007C3FA3" w:rsidP="007C3FA3">
      <w:pPr>
        <w:spacing w:line="360" w:lineRule="auto"/>
        <w:ind w:firstLineChars="200" w:firstLine="600"/>
        <w:rPr>
          <w:rFonts w:ascii="黑体" w:eastAsia="黑体" w:hAnsi="黑体"/>
          <w:sz w:val="30"/>
          <w:szCs w:val="30"/>
        </w:rPr>
      </w:pPr>
      <w:r>
        <w:rPr>
          <w:rFonts w:ascii="黑体" w:eastAsia="黑体" w:hAnsi="黑体" w:hint="eastAsia"/>
          <w:sz w:val="30"/>
          <w:szCs w:val="30"/>
        </w:rPr>
        <w:t>一、网络与技术风险</w:t>
      </w:r>
      <w:r>
        <w:rPr>
          <w:rFonts w:ascii="黑体" w:eastAsia="黑体" w:hAnsi="黑体"/>
          <w:sz w:val="30"/>
          <w:szCs w:val="30"/>
        </w:rPr>
        <w:t xml:space="preserve"> </w:t>
      </w:r>
    </w:p>
    <w:p w:rsidR="007C3FA3" w:rsidRDefault="007C3FA3" w:rsidP="007C3FA3">
      <w:pPr>
        <w:spacing w:line="360" w:lineRule="auto"/>
        <w:ind w:firstLineChars="200" w:firstLine="600"/>
        <w:rPr>
          <w:rFonts w:ascii="仿宋" w:eastAsia="仿宋" w:hAnsi="仿宋"/>
          <w:sz w:val="30"/>
          <w:szCs w:val="30"/>
        </w:rPr>
      </w:pPr>
      <w:r>
        <w:rPr>
          <w:rFonts w:ascii="仿宋" w:eastAsia="仿宋" w:hAnsi="仿宋" w:hint="eastAsia"/>
          <w:sz w:val="30"/>
          <w:szCs w:val="30"/>
        </w:rPr>
        <w:t>互联网是全球公共网络，并不由交易市场所控制，数据在互联网上传输的途径不是完全确定的，互联网本身并不是绝对安全可靠的。互联网上传输的数据有可能被某些个人、机构通过某种非法渠道获取，并有可能恶意破坏数据的原始性。</w:t>
      </w:r>
      <w:r>
        <w:rPr>
          <w:rFonts w:ascii="仿宋" w:eastAsia="仿宋" w:hAnsi="仿宋"/>
          <w:sz w:val="30"/>
          <w:szCs w:val="30"/>
        </w:rPr>
        <w:t xml:space="preserve"> </w:t>
      </w:r>
    </w:p>
    <w:p w:rsidR="007C3FA3" w:rsidRDefault="007C3FA3" w:rsidP="007C3FA3">
      <w:pPr>
        <w:spacing w:line="360" w:lineRule="auto"/>
        <w:ind w:firstLineChars="200" w:firstLine="600"/>
        <w:rPr>
          <w:rFonts w:ascii="仿宋" w:eastAsia="仿宋" w:hAnsi="仿宋"/>
          <w:sz w:val="30"/>
          <w:szCs w:val="30"/>
        </w:rPr>
      </w:pPr>
      <w:r>
        <w:rPr>
          <w:rFonts w:ascii="仿宋" w:eastAsia="仿宋" w:hAnsi="仿宋" w:hint="eastAsia"/>
          <w:sz w:val="30"/>
          <w:szCs w:val="30"/>
        </w:rPr>
        <w:t>由于网上黑客的攻击和入侵，电子交易系统可能会出现故障，您可能不能及时进入电子交易系统进行正常交易。</w:t>
      </w:r>
      <w:r>
        <w:rPr>
          <w:rFonts w:ascii="仿宋" w:eastAsia="仿宋" w:hAnsi="仿宋"/>
          <w:sz w:val="30"/>
          <w:szCs w:val="30"/>
        </w:rPr>
        <w:t xml:space="preserve"> </w:t>
      </w:r>
    </w:p>
    <w:p w:rsidR="007C3FA3" w:rsidRDefault="007C3FA3" w:rsidP="007C3FA3">
      <w:pPr>
        <w:spacing w:line="360" w:lineRule="auto"/>
        <w:ind w:firstLineChars="200" w:firstLine="600"/>
        <w:rPr>
          <w:rFonts w:ascii="仿宋" w:eastAsia="仿宋" w:hAnsi="仿宋"/>
          <w:sz w:val="30"/>
          <w:szCs w:val="30"/>
        </w:rPr>
      </w:pPr>
      <w:r>
        <w:rPr>
          <w:rFonts w:ascii="仿宋" w:eastAsia="仿宋" w:hAnsi="仿宋" w:hint="eastAsia"/>
          <w:sz w:val="30"/>
          <w:szCs w:val="30"/>
        </w:rPr>
        <w:t>由于通讯线路繁忙或服务器负载过重，您可能不能及时进入电子交易系统完成交易。贵公司与交易市场通讯线路发生故障，交易市场交易系统出现故障等原因导致交易不能正常进行，交易市场不承担相关责任。</w:t>
      </w:r>
      <w:r>
        <w:rPr>
          <w:rFonts w:ascii="仿宋" w:eastAsia="仿宋" w:hAnsi="仿宋"/>
          <w:sz w:val="30"/>
          <w:szCs w:val="30"/>
        </w:rPr>
        <w:t xml:space="preserve"> </w:t>
      </w:r>
    </w:p>
    <w:p w:rsidR="007C3FA3" w:rsidRDefault="007C3FA3" w:rsidP="007C3FA3">
      <w:pPr>
        <w:spacing w:line="360" w:lineRule="auto"/>
        <w:ind w:firstLineChars="200" w:firstLine="600"/>
        <w:rPr>
          <w:rFonts w:ascii="仿宋" w:eastAsia="仿宋" w:hAnsi="仿宋"/>
          <w:sz w:val="30"/>
          <w:szCs w:val="30"/>
        </w:rPr>
      </w:pPr>
      <w:r>
        <w:rPr>
          <w:rFonts w:ascii="仿宋" w:eastAsia="仿宋" w:hAnsi="仿宋" w:hint="eastAsia"/>
          <w:sz w:val="30"/>
          <w:szCs w:val="30"/>
        </w:rPr>
        <w:t>由于互联网传输原因，行情信息及其他信息可能会出现中断、</w:t>
      </w:r>
      <w:r>
        <w:rPr>
          <w:rFonts w:ascii="仿宋" w:eastAsia="仿宋" w:hAnsi="仿宋" w:hint="eastAsia"/>
          <w:sz w:val="30"/>
          <w:szCs w:val="30"/>
        </w:rPr>
        <w:lastRenderedPageBreak/>
        <w:t>停顿、延迟、数据错误等异常情况，导致您做出错误判断。如遇到异常和不确定信息，贵公司需要及时查证核实。</w:t>
      </w:r>
      <w:r>
        <w:rPr>
          <w:rFonts w:ascii="仿宋" w:eastAsia="仿宋" w:hAnsi="仿宋"/>
          <w:sz w:val="30"/>
          <w:szCs w:val="30"/>
        </w:rPr>
        <w:t xml:space="preserve"> </w:t>
      </w:r>
    </w:p>
    <w:p w:rsidR="007C3FA3" w:rsidRDefault="007C3FA3" w:rsidP="007C3FA3">
      <w:pPr>
        <w:spacing w:line="360" w:lineRule="auto"/>
        <w:ind w:firstLineChars="200" w:firstLine="600"/>
        <w:rPr>
          <w:rFonts w:ascii="仿宋" w:eastAsia="仿宋" w:hAnsi="仿宋"/>
          <w:sz w:val="30"/>
          <w:szCs w:val="30"/>
        </w:rPr>
      </w:pPr>
      <w:r>
        <w:rPr>
          <w:rFonts w:ascii="仿宋" w:eastAsia="仿宋" w:hAnsi="仿宋" w:hint="eastAsia"/>
          <w:sz w:val="30"/>
          <w:szCs w:val="30"/>
        </w:rPr>
        <w:t>由于网络故障，在您通过电子交易系统进行交易时，可能贵公司的电脑界面已提示成功发送委托，但交易市场服务器并没有接收到委托指令，从而存在贵公司不能及时完成交易的风险。贵公司需要及时查证核实成交情况。由于网络传输延迟，在您的查询结果中可能会显示委托还未成功，贵公司如果再次发出委托，可能会使委托服务器收到您的重复委托，导致贵公司的重复买卖，应当及时查证核实成交情况。此外，还可能贵公司指定的委托价位不能成交，让贵公司遭受损失，贵公司需要及时查证核实委托情况。</w:t>
      </w:r>
      <w:r>
        <w:rPr>
          <w:rFonts w:ascii="仿宋" w:eastAsia="仿宋" w:hAnsi="仿宋"/>
          <w:sz w:val="30"/>
          <w:szCs w:val="30"/>
        </w:rPr>
        <w:t xml:space="preserve"> </w:t>
      </w:r>
    </w:p>
    <w:p w:rsidR="007C3FA3" w:rsidRDefault="007C3FA3" w:rsidP="007C3FA3">
      <w:pPr>
        <w:spacing w:line="360" w:lineRule="auto"/>
        <w:ind w:firstLineChars="200" w:firstLine="600"/>
        <w:rPr>
          <w:rFonts w:ascii="仿宋" w:eastAsia="仿宋" w:hAnsi="仿宋"/>
          <w:sz w:val="30"/>
          <w:szCs w:val="30"/>
        </w:rPr>
      </w:pPr>
      <w:r>
        <w:rPr>
          <w:rFonts w:ascii="仿宋" w:eastAsia="仿宋" w:hAnsi="仿宋" w:hint="eastAsia"/>
          <w:sz w:val="30"/>
          <w:szCs w:val="30"/>
        </w:rPr>
        <w:t>由于交易市场电子交易系统发生故障，交易市场采取的措施而造成交易结果的不确定性，按交易市场相关规则执行。</w:t>
      </w:r>
    </w:p>
    <w:p w:rsidR="007C3FA3" w:rsidRDefault="007C3FA3" w:rsidP="007C3FA3">
      <w:pPr>
        <w:spacing w:line="360" w:lineRule="auto"/>
        <w:ind w:firstLineChars="200" w:firstLine="600"/>
        <w:rPr>
          <w:rFonts w:ascii="黑体" w:eastAsia="黑体" w:hAnsi="黑体"/>
          <w:sz w:val="30"/>
          <w:szCs w:val="30"/>
        </w:rPr>
      </w:pPr>
      <w:r>
        <w:rPr>
          <w:rFonts w:ascii="黑体" w:eastAsia="黑体" w:hAnsi="黑体" w:hint="eastAsia"/>
          <w:sz w:val="30"/>
          <w:szCs w:val="30"/>
        </w:rPr>
        <w:t>二、操作风险</w:t>
      </w:r>
      <w:r>
        <w:rPr>
          <w:rFonts w:ascii="黑体" w:eastAsia="黑体" w:hAnsi="黑体"/>
          <w:sz w:val="30"/>
          <w:szCs w:val="30"/>
        </w:rPr>
        <w:t xml:space="preserve"> </w:t>
      </w:r>
    </w:p>
    <w:p w:rsidR="007C3FA3" w:rsidRDefault="007C3FA3" w:rsidP="007C3FA3">
      <w:pPr>
        <w:spacing w:line="360" w:lineRule="auto"/>
        <w:ind w:firstLineChars="200" w:firstLine="600"/>
        <w:rPr>
          <w:rFonts w:ascii="仿宋" w:eastAsia="仿宋" w:hAnsi="仿宋"/>
          <w:sz w:val="30"/>
          <w:szCs w:val="30"/>
        </w:rPr>
      </w:pPr>
      <w:r>
        <w:rPr>
          <w:rFonts w:ascii="仿宋" w:eastAsia="仿宋" w:hAnsi="仿宋" w:hint="eastAsia"/>
          <w:sz w:val="30"/>
          <w:szCs w:val="30"/>
        </w:rPr>
        <w:t>贵公司必须在首次参与交易前更改初始交易密码。交易市场郑重提醒贵公司妥善保管电子交易账户和交易密码，因贵公司保管不善而造成的一切后果均由贵公司承担。贵公司要承担在交易过程中因自身原因进行的误操作所造成的后果。</w:t>
      </w:r>
    </w:p>
    <w:p w:rsidR="007C3FA3" w:rsidRDefault="007C3FA3" w:rsidP="007C3FA3">
      <w:pPr>
        <w:spacing w:line="360" w:lineRule="auto"/>
        <w:ind w:firstLineChars="200" w:firstLine="600"/>
        <w:rPr>
          <w:rFonts w:ascii="仿宋" w:eastAsia="仿宋" w:hAnsi="仿宋"/>
          <w:sz w:val="30"/>
          <w:szCs w:val="30"/>
        </w:rPr>
      </w:pPr>
      <w:r>
        <w:rPr>
          <w:rFonts w:ascii="仿宋" w:eastAsia="仿宋" w:hAnsi="仿宋" w:hint="eastAsia"/>
          <w:sz w:val="30"/>
          <w:szCs w:val="30"/>
        </w:rPr>
        <w:t>贵公司在进行电子交易操作后，应在交易结束后，确认贵公司交易资金账户余额及当日发生额准确无误。如有异议或异常情况，请立即与交易市场联系。若未提出异议，交易市场视同贵公司对记载事项的确认。</w:t>
      </w:r>
      <w:r>
        <w:rPr>
          <w:rFonts w:ascii="仿宋" w:eastAsia="仿宋" w:hAnsi="仿宋"/>
          <w:sz w:val="30"/>
          <w:szCs w:val="30"/>
        </w:rPr>
        <w:t xml:space="preserve"> </w:t>
      </w:r>
    </w:p>
    <w:p w:rsidR="007C3FA3" w:rsidRDefault="007C3FA3" w:rsidP="007C3FA3">
      <w:pPr>
        <w:spacing w:line="360" w:lineRule="auto"/>
        <w:ind w:firstLineChars="200" w:firstLine="600"/>
        <w:rPr>
          <w:rFonts w:ascii="黑体" w:eastAsia="黑体" w:hAnsi="黑体"/>
          <w:sz w:val="30"/>
          <w:szCs w:val="30"/>
        </w:rPr>
      </w:pPr>
      <w:r>
        <w:rPr>
          <w:rFonts w:ascii="黑体" w:eastAsia="黑体" w:hAnsi="黑体" w:hint="eastAsia"/>
          <w:sz w:val="30"/>
          <w:szCs w:val="30"/>
        </w:rPr>
        <w:lastRenderedPageBreak/>
        <w:t>三、信息风险</w:t>
      </w:r>
      <w:r>
        <w:rPr>
          <w:rFonts w:ascii="黑体" w:eastAsia="黑体" w:hAnsi="黑体"/>
          <w:sz w:val="30"/>
          <w:szCs w:val="30"/>
        </w:rPr>
        <w:t xml:space="preserve"> </w:t>
      </w:r>
    </w:p>
    <w:p w:rsidR="007C3FA3" w:rsidRDefault="007C3FA3" w:rsidP="007C3FA3">
      <w:pPr>
        <w:spacing w:line="360" w:lineRule="auto"/>
        <w:ind w:firstLineChars="200" w:firstLine="600"/>
        <w:rPr>
          <w:rFonts w:ascii="仿宋" w:eastAsia="仿宋" w:hAnsi="仿宋"/>
          <w:sz w:val="30"/>
          <w:szCs w:val="30"/>
        </w:rPr>
      </w:pPr>
      <w:r>
        <w:rPr>
          <w:rFonts w:ascii="仿宋" w:eastAsia="仿宋" w:hAnsi="仿宋" w:hint="eastAsia"/>
          <w:sz w:val="30"/>
          <w:szCs w:val="30"/>
        </w:rPr>
        <w:t>交易市场在网站上发布的相关信息，仅供</w:t>
      </w:r>
      <w:r>
        <w:rPr>
          <w:rFonts w:ascii="仿宋" w:eastAsia="仿宋" w:hAnsi="仿宋"/>
          <w:sz w:val="30"/>
          <w:szCs w:val="30"/>
        </w:rPr>
        <w:t>贵公司</w:t>
      </w:r>
      <w:r>
        <w:rPr>
          <w:rFonts w:ascii="仿宋" w:eastAsia="仿宋" w:hAnsi="仿宋" w:hint="eastAsia"/>
          <w:sz w:val="30"/>
          <w:szCs w:val="30"/>
        </w:rPr>
        <w:t>参考。如果据此进行交易，交易市场将不对贵公司的入市结果负责。</w:t>
      </w:r>
      <w:r>
        <w:rPr>
          <w:rFonts w:ascii="仿宋" w:eastAsia="仿宋" w:hAnsi="仿宋"/>
          <w:sz w:val="30"/>
          <w:szCs w:val="30"/>
        </w:rPr>
        <w:t xml:space="preserve"> </w:t>
      </w:r>
    </w:p>
    <w:p w:rsidR="007C3FA3" w:rsidRDefault="007C3FA3" w:rsidP="007C3FA3">
      <w:pPr>
        <w:spacing w:line="360" w:lineRule="auto"/>
        <w:ind w:firstLineChars="200" w:firstLine="600"/>
        <w:rPr>
          <w:rFonts w:ascii="黑体" w:eastAsia="黑体" w:hAnsi="黑体"/>
          <w:sz w:val="30"/>
          <w:szCs w:val="30"/>
        </w:rPr>
      </w:pPr>
      <w:r>
        <w:rPr>
          <w:rFonts w:ascii="黑体" w:eastAsia="黑体" w:hAnsi="黑体" w:hint="eastAsia"/>
          <w:sz w:val="30"/>
          <w:szCs w:val="30"/>
        </w:rPr>
        <w:t>四、政策风险</w:t>
      </w:r>
      <w:r>
        <w:rPr>
          <w:rFonts w:ascii="黑体" w:eastAsia="黑体" w:hAnsi="黑体"/>
          <w:sz w:val="30"/>
          <w:szCs w:val="30"/>
        </w:rPr>
        <w:t xml:space="preserve"> </w:t>
      </w:r>
    </w:p>
    <w:p w:rsidR="007C3FA3" w:rsidRDefault="007C3FA3" w:rsidP="007C3FA3">
      <w:pPr>
        <w:spacing w:line="360" w:lineRule="auto"/>
        <w:ind w:firstLineChars="200" w:firstLine="600"/>
        <w:rPr>
          <w:rFonts w:ascii="仿宋" w:eastAsia="仿宋" w:hAnsi="仿宋"/>
          <w:sz w:val="30"/>
          <w:szCs w:val="30"/>
        </w:rPr>
      </w:pPr>
      <w:r>
        <w:rPr>
          <w:rFonts w:ascii="仿宋" w:eastAsia="仿宋" w:hAnsi="仿宋" w:hint="eastAsia"/>
          <w:sz w:val="30"/>
          <w:szCs w:val="30"/>
        </w:rPr>
        <w:t>国家法律及相关政策的变化、交易市场交易规则的变化等都可能对交易产生影响，交易市场不对贵公司交易结果负责。</w:t>
      </w:r>
      <w:r>
        <w:rPr>
          <w:rFonts w:ascii="仿宋" w:eastAsia="仿宋" w:hAnsi="仿宋"/>
          <w:sz w:val="30"/>
          <w:szCs w:val="30"/>
        </w:rPr>
        <w:t xml:space="preserve"> </w:t>
      </w:r>
    </w:p>
    <w:p w:rsidR="007C3FA3" w:rsidRDefault="007C3FA3" w:rsidP="007C3FA3">
      <w:pPr>
        <w:spacing w:line="360" w:lineRule="auto"/>
        <w:ind w:firstLineChars="200" w:firstLine="600"/>
        <w:rPr>
          <w:rFonts w:ascii="黑体" w:eastAsia="黑体" w:hAnsi="黑体"/>
          <w:sz w:val="30"/>
          <w:szCs w:val="30"/>
        </w:rPr>
      </w:pPr>
      <w:r>
        <w:rPr>
          <w:rFonts w:ascii="黑体" w:eastAsia="黑体" w:hAnsi="黑体" w:hint="eastAsia"/>
          <w:sz w:val="30"/>
          <w:szCs w:val="30"/>
        </w:rPr>
        <w:t>五、其他风险</w:t>
      </w:r>
      <w:r>
        <w:rPr>
          <w:rFonts w:ascii="黑体" w:eastAsia="黑体" w:hAnsi="黑体"/>
          <w:sz w:val="30"/>
          <w:szCs w:val="30"/>
        </w:rPr>
        <w:t xml:space="preserve"> </w:t>
      </w:r>
    </w:p>
    <w:p w:rsidR="007C3FA3" w:rsidRDefault="007C3FA3" w:rsidP="007C3FA3">
      <w:pPr>
        <w:spacing w:line="360" w:lineRule="auto"/>
        <w:ind w:firstLineChars="200" w:firstLine="600"/>
        <w:rPr>
          <w:rFonts w:ascii="仿宋" w:eastAsia="仿宋" w:hAnsi="仿宋"/>
          <w:sz w:val="30"/>
          <w:szCs w:val="30"/>
        </w:rPr>
      </w:pPr>
      <w:r>
        <w:rPr>
          <w:rFonts w:ascii="仿宋" w:eastAsia="仿宋" w:hAnsi="仿宋" w:hint="eastAsia"/>
          <w:sz w:val="30"/>
          <w:szCs w:val="30"/>
        </w:rPr>
        <w:t>由于地震、火灾、水灾、电力故障</w:t>
      </w:r>
      <w:r>
        <w:rPr>
          <w:rFonts w:ascii="仿宋" w:eastAsia="仿宋" w:hAnsi="仿宋"/>
          <w:sz w:val="30"/>
          <w:szCs w:val="30"/>
        </w:rPr>
        <w:t>(</w:t>
      </w:r>
      <w:r>
        <w:rPr>
          <w:rFonts w:ascii="仿宋" w:eastAsia="仿宋" w:hAnsi="仿宋" w:hint="eastAsia"/>
          <w:sz w:val="30"/>
          <w:szCs w:val="30"/>
        </w:rPr>
        <w:t>突然停电</w:t>
      </w:r>
      <w:r>
        <w:rPr>
          <w:rFonts w:ascii="仿宋" w:eastAsia="仿宋" w:hAnsi="仿宋"/>
          <w:sz w:val="30"/>
          <w:szCs w:val="30"/>
        </w:rPr>
        <w:t>)</w:t>
      </w:r>
      <w:r>
        <w:rPr>
          <w:rFonts w:ascii="仿宋" w:eastAsia="仿宋" w:hAnsi="仿宋" w:hint="eastAsia"/>
          <w:sz w:val="30"/>
          <w:szCs w:val="30"/>
        </w:rPr>
        <w:t>及其他不可抗力导致交易不能正常进行，交易市场不承担责任。</w:t>
      </w:r>
      <w:r>
        <w:rPr>
          <w:rFonts w:ascii="仿宋" w:eastAsia="仿宋" w:hAnsi="仿宋"/>
          <w:sz w:val="30"/>
          <w:szCs w:val="30"/>
        </w:rPr>
        <w:t xml:space="preserve">    </w:t>
      </w:r>
    </w:p>
    <w:p w:rsidR="007C3FA3" w:rsidRDefault="007C3FA3" w:rsidP="007C3FA3">
      <w:pPr>
        <w:spacing w:line="360" w:lineRule="auto"/>
        <w:ind w:firstLineChars="200" w:firstLine="600"/>
        <w:rPr>
          <w:rFonts w:ascii="仿宋" w:eastAsia="仿宋" w:hAnsi="仿宋"/>
          <w:sz w:val="30"/>
          <w:szCs w:val="30"/>
        </w:rPr>
      </w:pPr>
      <w:r>
        <w:rPr>
          <w:rFonts w:ascii="仿宋" w:eastAsia="仿宋" w:hAnsi="仿宋" w:hint="eastAsia"/>
          <w:sz w:val="30"/>
          <w:szCs w:val="30"/>
        </w:rPr>
        <w:t>本揭示书不可能尽述一切电子交易风险，贵公司应在细心研究、熟悉电子化交易风险后，谨慎入市。</w:t>
      </w:r>
      <w:r>
        <w:rPr>
          <w:rFonts w:ascii="仿宋" w:eastAsia="仿宋" w:hAnsi="仿宋"/>
          <w:sz w:val="30"/>
          <w:szCs w:val="30"/>
        </w:rPr>
        <w:t xml:space="preserve"> </w:t>
      </w:r>
    </w:p>
    <w:p w:rsidR="007C3FA3" w:rsidRDefault="007C3FA3" w:rsidP="007C3FA3">
      <w:pPr>
        <w:spacing w:line="360" w:lineRule="auto"/>
        <w:rPr>
          <w:rFonts w:ascii="仿宋" w:eastAsia="仿宋" w:hAnsi="仿宋" w:hint="eastAsia"/>
          <w:sz w:val="30"/>
          <w:szCs w:val="30"/>
        </w:rPr>
      </w:pPr>
    </w:p>
    <w:p w:rsidR="007C3FA3" w:rsidRDefault="007C3FA3" w:rsidP="007C3FA3">
      <w:pPr>
        <w:spacing w:line="360" w:lineRule="auto"/>
        <w:rPr>
          <w:rFonts w:ascii="仿宋" w:eastAsia="仿宋" w:hAnsi="仿宋"/>
          <w:sz w:val="30"/>
          <w:szCs w:val="30"/>
        </w:rPr>
      </w:pPr>
    </w:p>
    <w:p w:rsidR="007C3FA3" w:rsidRDefault="007C3FA3" w:rsidP="007C3FA3">
      <w:pPr>
        <w:spacing w:line="360" w:lineRule="auto"/>
        <w:rPr>
          <w:rFonts w:ascii="仿宋" w:eastAsia="仿宋" w:hAnsi="仿宋" w:hint="eastAsia"/>
          <w:sz w:val="30"/>
          <w:szCs w:val="30"/>
        </w:rPr>
      </w:pPr>
      <w:r>
        <w:rPr>
          <w:rFonts w:ascii="仿宋" w:eastAsia="仿宋" w:hAnsi="仿宋" w:hint="eastAsia"/>
          <w:sz w:val="30"/>
          <w:szCs w:val="30"/>
        </w:rPr>
        <w:t>签署方（盖章）：</w:t>
      </w:r>
      <w:r>
        <w:rPr>
          <w:rFonts w:ascii="仿宋" w:eastAsia="仿宋" w:hAnsi="仿宋"/>
          <w:sz w:val="30"/>
          <w:szCs w:val="30"/>
        </w:rPr>
        <w:t xml:space="preserve">  </w:t>
      </w:r>
    </w:p>
    <w:p w:rsidR="007C3FA3" w:rsidRDefault="007C3FA3" w:rsidP="007C3FA3">
      <w:pPr>
        <w:spacing w:line="360" w:lineRule="auto"/>
        <w:rPr>
          <w:rFonts w:ascii="仿宋" w:eastAsia="仿宋" w:hAnsi="仿宋"/>
          <w:sz w:val="30"/>
          <w:szCs w:val="30"/>
        </w:rPr>
      </w:pPr>
      <w:r>
        <w:rPr>
          <w:rFonts w:ascii="仿宋" w:eastAsia="仿宋" w:hAnsi="仿宋"/>
          <w:sz w:val="30"/>
          <w:szCs w:val="30"/>
        </w:rPr>
        <w:t xml:space="preserve">         </w:t>
      </w:r>
    </w:p>
    <w:p w:rsidR="007C3FA3" w:rsidRDefault="007C3FA3" w:rsidP="007C3FA3">
      <w:pPr>
        <w:spacing w:line="360" w:lineRule="auto"/>
        <w:rPr>
          <w:rFonts w:ascii="仿宋" w:eastAsia="仿宋" w:hAnsi="仿宋"/>
          <w:sz w:val="30"/>
          <w:szCs w:val="30"/>
        </w:rPr>
      </w:pPr>
      <w:r>
        <w:rPr>
          <w:rFonts w:ascii="仿宋" w:eastAsia="仿宋" w:hAnsi="仿宋" w:hint="eastAsia"/>
          <w:sz w:val="30"/>
          <w:szCs w:val="30"/>
        </w:rPr>
        <w:t>法定代表人或授权代表（签名）：</w:t>
      </w:r>
    </w:p>
    <w:p w:rsidR="007C3FA3" w:rsidRDefault="007C3FA3" w:rsidP="007C3FA3">
      <w:pPr>
        <w:spacing w:line="360" w:lineRule="auto"/>
        <w:rPr>
          <w:rFonts w:ascii="仿宋" w:eastAsia="仿宋" w:hAnsi="仿宋"/>
          <w:sz w:val="30"/>
          <w:szCs w:val="30"/>
        </w:rPr>
      </w:pPr>
    </w:p>
    <w:p w:rsidR="007C3FA3" w:rsidRDefault="007C3FA3" w:rsidP="007C3FA3">
      <w:pPr>
        <w:spacing w:line="360" w:lineRule="auto"/>
        <w:rPr>
          <w:rFonts w:ascii="仿宋" w:eastAsia="仿宋" w:hAnsi="仿宋"/>
          <w:sz w:val="30"/>
          <w:szCs w:val="30"/>
        </w:rPr>
      </w:pPr>
      <w:r>
        <w:rPr>
          <w:rFonts w:ascii="仿宋" w:eastAsia="仿宋" w:hAnsi="仿宋" w:hint="eastAsia"/>
          <w:sz w:val="30"/>
          <w:szCs w:val="30"/>
        </w:rPr>
        <w:t>日期：</w:t>
      </w:r>
      <w:r>
        <w:rPr>
          <w:rFonts w:ascii="仿宋" w:eastAsia="仿宋" w:hAnsi="仿宋"/>
          <w:sz w:val="30"/>
          <w:szCs w:val="30"/>
        </w:rPr>
        <w:t xml:space="preserve">    </w:t>
      </w:r>
      <w:r>
        <w:rPr>
          <w:rFonts w:ascii="仿宋" w:eastAsia="仿宋" w:hAnsi="仿宋" w:hint="eastAsia"/>
          <w:sz w:val="30"/>
          <w:szCs w:val="30"/>
        </w:rPr>
        <w:t xml:space="preserve">年 </w:t>
      </w:r>
      <w:r>
        <w:rPr>
          <w:rFonts w:ascii="仿宋" w:eastAsia="仿宋" w:hAnsi="仿宋"/>
          <w:sz w:val="30"/>
          <w:szCs w:val="30"/>
        </w:rPr>
        <w:t xml:space="preserve">  </w:t>
      </w:r>
      <w:r>
        <w:rPr>
          <w:rFonts w:ascii="仿宋" w:eastAsia="仿宋" w:hAnsi="仿宋" w:hint="eastAsia"/>
          <w:sz w:val="30"/>
          <w:szCs w:val="30"/>
        </w:rPr>
        <w:t>月</w:t>
      </w:r>
      <w:r>
        <w:rPr>
          <w:rFonts w:ascii="仿宋" w:eastAsia="仿宋" w:hAnsi="仿宋"/>
          <w:sz w:val="30"/>
          <w:szCs w:val="30"/>
        </w:rPr>
        <w:t xml:space="preserve"> </w:t>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日</w:t>
      </w:r>
    </w:p>
    <w:p w:rsidR="007C3FA3" w:rsidRDefault="007C3FA3" w:rsidP="007C3FA3">
      <w:pPr>
        <w:spacing w:line="360" w:lineRule="auto"/>
        <w:rPr>
          <w:rFonts w:ascii="仿宋" w:eastAsia="仿宋" w:hAnsi="仿宋"/>
          <w:sz w:val="30"/>
          <w:szCs w:val="30"/>
        </w:rPr>
      </w:pPr>
    </w:p>
    <w:p w:rsidR="007C3FA3" w:rsidRDefault="007C3FA3" w:rsidP="007C3FA3">
      <w:pPr>
        <w:pStyle w:val="a5"/>
        <w:ind w:firstLineChars="0" w:firstLine="0"/>
        <w:jc w:val="center"/>
        <w:rPr>
          <w:rFonts w:ascii="黑体" w:eastAsia="黑体" w:hAnsi="黑体" w:cs="Calibri" w:hint="eastAsia"/>
          <w:b/>
          <w:sz w:val="36"/>
          <w:szCs w:val="36"/>
        </w:rPr>
      </w:pPr>
    </w:p>
    <w:p w:rsidR="007C3FA3" w:rsidRDefault="007C3FA3" w:rsidP="007C3FA3"/>
    <w:p w:rsidR="007C3FA3" w:rsidRDefault="007C3FA3" w:rsidP="007C3FA3">
      <w:pPr>
        <w:spacing w:line="360" w:lineRule="auto"/>
        <w:ind w:firstLineChars="200" w:firstLine="420"/>
        <w:rPr>
          <w:lang w:val="zh-CN"/>
        </w:rPr>
      </w:pPr>
    </w:p>
    <w:p w:rsidR="00294A30" w:rsidRDefault="00294A30">
      <w:bookmarkStart w:id="0" w:name="_GoBack"/>
      <w:bookmarkEnd w:id="0"/>
    </w:p>
    <w:sectPr w:rsidR="00294A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BA3" w:rsidRDefault="002F6BA3" w:rsidP="007C3FA3">
      <w:r>
        <w:separator/>
      </w:r>
    </w:p>
  </w:endnote>
  <w:endnote w:type="continuationSeparator" w:id="0">
    <w:p w:rsidR="002F6BA3" w:rsidRDefault="002F6BA3" w:rsidP="007C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BA3" w:rsidRDefault="002F6BA3" w:rsidP="007C3FA3">
      <w:r>
        <w:separator/>
      </w:r>
    </w:p>
  </w:footnote>
  <w:footnote w:type="continuationSeparator" w:id="0">
    <w:p w:rsidR="002F6BA3" w:rsidRDefault="002F6BA3" w:rsidP="007C3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97E"/>
    <w:rsid w:val="000345BF"/>
    <w:rsid w:val="00294A30"/>
    <w:rsid w:val="002F6BA3"/>
    <w:rsid w:val="0035197E"/>
    <w:rsid w:val="007C3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FA3"/>
    <w:pPr>
      <w:widowControl w:val="0"/>
      <w:jc w:val="both"/>
    </w:pPr>
    <w:rPr>
      <w:rFonts w:ascii="Calibri" w:eastAsia="宋体" w:hAnsi="Calibri" w:cs="Times New Roman"/>
      <w:szCs w:val="24"/>
    </w:rPr>
  </w:style>
  <w:style w:type="paragraph" w:styleId="1">
    <w:name w:val="heading 1"/>
    <w:basedOn w:val="a"/>
    <w:next w:val="a"/>
    <w:link w:val="1Char"/>
    <w:qFormat/>
    <w:rsid w:val="007C3FA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3F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C3FA3"/>
    <w:rPr>
      <w:sz w:val="18"/>
      <w:szCs w:val="18"/>
    </w:rPr>
  </w:style>
  <w:style w:type="paragraph" w:styleId="a4">
    <w:name w:val="footer"/>
    <w:basedOn w:val="a"/>
    <w:link w:val="Char0"/>
    <w:uiPriority w:val="99"/>
    <w:unhideWhenUsed/>
    <w:rsid w:val="007C3F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C3FA3"/>
    <w:rPr>
      <w:sz w:val="18"/>
      <w:szCs w:val="18"/>
    </w:rPr>
  </w:style>
  <w:style w:type="character" w:customStyle="1" w:styleId="1Char">
    <w:name w:val="标题 1 Char"/>
    <w:basedOn w:val="a0"/>
    <w:link w:val="1"/>
    <w:rsid w:val="007C3FA3"/>
    <w:rPr>
      <w:rFonts w:ascii="Calibri" w:eastAsia="宋体" w:hAnsi="Calibri" w:cs="Times New Roman"/>
      <w:b/>
      <w:kern w:val="44"/>
      <w:sz w:val="44"/>
      <w:szCs w:val="24"/>
    </w:rPr>
  </w:style>
  <w:style w:type="paragraph" w:styleId="a5">
    <w:name w:val="No Spacing"/>
    <w:qFormat/>
    <w:rsid w:val="007C3FA3"/>
    <w:pPr>
      <w:widowControl w:val="0"/>
      <w:ind w:firstLineChars="200" w:firstLine="200"/>
      <w:jc w:val="both"/>
    </w:pPr>
    <w:rPr>
      <w:rFonts w:ascii="Calibri" w:eastAsia="仿宋_GB2312" w:hAnsi="Calibri"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FA3"/>
    <w:pPr>
      <w:widowControl w:val="0"/>
      <w:jc w:val="both"/>
    </w:pPr>
    <w:rPr>
      <w:rFonts w:ascii="Calibri" w:eastAsia="宋体" w:hAnsi="Calibri" w:cs="Times New Roman"/>
      <w:szCs w:val="24"/>
    </w:rPr>
  </w:style>
  <w:style w:type="paragraph" w:styleId="1">
    <w:name w:val="heading 1"/>
    <w:basedOn w:val="a"/>
    <w:next w:val="a"/>
    <w:link w:val="1Char"/>
    <w:qFormat/>
    <w:rsid w:val="007C3FA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3F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C3FA3"/>
    <w:rPr>
      <w:sz w:val="18"/>
      <w:szCs w:val="18"/>
    </w:rPr>
  </w:style>
  <w:style w:type="paragraph" w:styleId="a4">
    <w:name w:val="footer"/>
    <w:basedOn w:val="a"/>
    <w:link w:val="Char0"/>
    <w:uiPriority w:val="99"/>
    <w:unhideWhenUsed/>
    <w:rsid w:val="007C3F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C3FA3"/>
    <w:rPr>
      <w:sz w:val="18"/>
      <w:szCs w:val="18"/>
    </w:rPr>
  </w:style>
  <w:style w:type="character" w:customStyle="1" w:styleId="1Char">
    <w:name w:val="标题 1 Char"/>
    <w:basedOn w:val="a0"/>
    <w:link w:val="1"/>
    <w:rsid w:val="007C3FA3"/>
    <w:rPr>
      <w:rFonts w:ascii="Calibri" w:eastAsia="宋体" w:hAnsi="Calibri" w:cs="Times New Roman"/>
      <w:b/>
      <w:kern w:val="44"/>
      <w:sz w:val="44"/>
      <w:szCs w:val="24"/>
    </w:rPr>
  </w:style>
  <w:style w:type="paragraph" w:styleId="a5">
    <w:name w:val="No Spacing"/>
    <w:qFormat/>
    <w:rsid w:val="007C3FA3"/>
    <w:pPr>
      <w:widowControl w:val="0"/>
      <w:ind w:firstLineChars="200" w:firstLine="200"/>
      <w:jc w:val="both"/>
    </w:pPr>
    <w:rPr>
      <w:rFonts w:ascii="Calibri" w:eastAsia="仿宋_GB2312" w:hAnsi="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1125</Characters>
  <Application>Microsoft Office Word</Application>
  <DocSecurity>0</DocSecurity>
  <Lines>9</Lines>
  <Paragraphs>2</Paragraphs>
  <ScaleCrop>false</ScaleCrop>
  <Company>杭州市城市管理办公室</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何玉辉</dc:creator>
  <cp:keywords/>
  <dc:description/>
  <cp:lastModifiedBy>何玉辉</cp:lastModifiedBy>
  <cp:revision>2</cp:revision>
  <dcterms:created xsi:type="dcterms:W3CDTF">2020-10-10T01:44:00Z</dcterms:created>
  <dcterms:modified xsi:type="dcterms:W3CDTF">2020-10-10T01:44:00Z</dcterms:modified>
</cp:coreProperties>
</file>